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2A7E1" w14:textId="78F60F84" w:rsidR="001D3A1E" w:rsidRDefault="001D3A1E" w:rsidP="001D3A1E">
      <w:pPr>
        <w:shd w:val="clear" w:color="auto" w:fill="FFFFFF"/>
        <w:outlineLvl w:val="0"/>
        <w:rPr>
          <w:rFonts w:ascii="Lato" w:eastAsia="Times New Roman" w:hAnsi="Lato" w:cs="Times New Roman"/>
          <w:color w:val="CC3300"/>
          <w:kern w:val="36"/>
          <w:sz w:val="36"/>
          <w:szCs w:val="36"/>
          <w:lang w:eastAsia="fr-FR"/>
        </w:rPr>
      </w:pPr>
      <w:r w:rsidRPr="001D3A1E">
        <w:rPr>
          <w:rFonts w:ascii="Lato" w:eastAsia="Times New Roman" w:hAnsi="Lato" w:cs="Times New Roman"/>
          <w:color w:val="CC3300"/>
          <w:kern w:val="36"/>
          <w:sz w:val="36"/>
          <w:szCs w:val="36"/>
          <w:lang w:eastAsia="fr-FR"/>
        </w:rPr>
        <w:t>Métaux de base</w:t>
      </w:r>
      <w:r>
        <w:rPr>
          <w:rFonts w:ascii="Lato" w:eastAsia="Times New Roman" w:hAnsi="Lato" w:cs="Times New Roman"/>
          <w:color w:val="CC3300"/>
          <w:kern w:val="36"/>
          <w:sz w:val="36"/>
          <w:szCs w:val="36"/>
          <w:lang w:eastAsia="fr-FR"/>
        </w:rPr>
        <w:t>,</w:t>
      </w:r>
      <w:r w:rsidRPr="001D3A1E">
        <w:rPr>
          <w:rFonts w:ascii="Lato" w:eastAsia="Times New Roman" w:hAnsi="Lato" w:cs="Times New Roman"/>
          <w:color w:val="CC3300"/>
          <w:kern w:val="36"/>
          <w:sz w:val="36"/>
          <w:szCs w:val="36"/>
          <w:lang w:eastAsia="fr-FR"/>
        </w:rPr>
        <w:t xml:space="preserve"> les perspectives restent favorables</w:t>
      </w:r>
    </w:p>
    <w:p w14:paraId="5056A0DE" w14:textId="77777777" w:rsidR="001D3A1E" w:rsidRPr="001D3A1E" w:rsidRDefault="001D3A1E" w:rsidP="001D3A1E">
      <w:pPr>
        <w:shd w:val="clear" w:color="auto" w:fill="FFFFFF"/>
        <w:outlineLvl w:val="0"/>
        <w:rPr>
          <w:rFonts w:ascii="Lato" w:eastAsia="Times New Roman" w:hAnsi="Lato" w:cs="Times New Roman"/>
          <w:color w:val="CC3300"/>
          <w:kern w:val="36"/>
          <w:sz w:val="36"/>
          <w:szCs w:val="36"/>
          <w:lang w:eastAsia="fr-FR"/>
        </w:rPr>
      </w:pPr>
    </w:p>
    <w:p w14:paraId="0C46DC6D" w14:textId="77777777" w:rsidR="001D3A1E" w:rsidRPr="001D3A1E" w:rsidRDefault="001D3A1E" w:rsidP="001D3A1E">
      <w:pPr>
        <w:shd w:val="clear" w:color="auto" w:fill="FFFFFF"/>
        <w:spacing w:before="75" w:after="75"/>
        <w:jc w:val="both"/>
        <w:rPr>
          <w:rFonts w:ascii="Lato" w:eastAsia="Times New Roman" w:hAnsi="Lato" w:cs="Times New Roman"/>
          <w:color w:val="000000"/>
          <w:sz w:val="23"/>
          <w:szCs w:val="23"/>
          <w:lang w:eastAsia="fr-FR"/>
        </w:rPr>
      </w:pPr>
      <w:r w:rsidRPr="001D3A1E">
        <w:rPr>
          <w:rFonts w:ascii="Lato" w:eastAsia="Times New Roman" w:hAnsi="Lato" w:cs="Times New Roman"/>
          <w:b/>
          <w:bCs/>
          <w:color w:val="000000"/>
          <w:sz w:val="23"/>
          <w:szCs w:val="23"/>
          <w:lang w:eastAsia="fr-FR"/>
        </w:rPr>
        <w:t>Les perspectives des matières premières, du point de vue des fondamentaux, restent robustes, au regard de l’érosion attendue des stocks, à la fois des métaux et des énergies, dont les niveaux sont déjà restreints. C’est en tout cas ce qu’estime Goldman Sachs, qui voit, en outre, le repli des cours comme une opportunité d’achat.</w:t>
      </w:r>
    </w:p>
    <w:p w14:paraId="1582EBB6" w14:textId="77777777" w:rsidR="001D3A1E" w:rsidRPr="001D3A1E" w:rsidRDefault="001D3A1E" w:rsidP="001D3A1E">
      <w:pPr>
        <w:shd w:val="clear" w:color="auto" w:fill="FFFFFF"/>
        <w:spacing w:before="75" w:after="75"/>
        <w:jc w:val="both"/>
        <w:rPr>
          <w:rFonts w:ascii="Lato" w:eastAsia="Times New Roman" w:hAnsi="Lato" w:cs="Times New Roman"/>
          <w:color w:val="000000"/>
          <w:sz w:val="23"/>
          <w:szCs w:val="23"/>
          <w:lang w:eastAsia="fr-FR"/>
        </w:rPr>
      </w:pPr>
      <w:r w:rsidRPr="001D3A1E">
        <w:rPr>
          <w:rFonts w:ascii="Lato" w:eastAsia="Times New Roman" w:hAnsi="Lato" w:cs="Times New Roman"/>
          <w:color w:val="000000"/>
          <w:sz w:val="23"/>
          <w:szCs w:val="23"/>
          <w:lang w:eastAsia="fr-FR"/>
        </w:rPr>
        <w:t> </w:t>
      </w:r>
    </w:p>
    <w:p w14:paraId="5A995BBD" w14:textId="77777777" w:rsidR="001D3A1E" w:rsidRPr="001D3A1E" w:rsidRDefault="001D3A1E" w:rsidP="001D3A1E">
      <w:pPr>
        <w:shd w:val="clear" w:color="auto" w:fill="FFFFFF"/>
        <w:spacing w:before="75" w:after="75"/>
        <w:jc w:val="both"/>
        <w:rPr>
          <w:rFonts w:ascii="Lato" w:eastAsia="Times New Roman" w:hAnsi="Lato" w:cs="Times New Roman"/>
          <w:color w:val="000000"/>
          <w:sz w:val="23"/>
          <w:szCs w:val="23"/>
          <w:lang w:eastAsia="fr-FR"/>
        </w:rPr>
      </w:pPr>
      <w:r w:rsidRPr="001D3A1E">
        <w:rPr>
          <w:rFonts w:ascii="Lato" w:eastAsia="Times New Roman" w:hAnsi="Lato" w:cs="Times New Roman"/>
          <w:color w:val="000000"/>
          <w:sz w:val="23"/>
          <w:szCs w:val="23"/>
          <w:lang w:eastAsia="fr-FR"/>
        </w:rPr>
        <w:t>Les marchés des matières premières ont été survendus, se désolidarisant des fondamentaux de l'offre et de la demande, a indiqué la banque le 7 juillet dernier.</w:t>
      </w:r>
    </w:p>
    <w:p w14:paraId="48614B75" w14:textId="77777777" w:rsidR="001D3A1E" w:rsidRPr="001D3A1E" w:rsidRDefault="001D3A1E" w:rsidP="001D3A1E">
      <w:pPr>
        <w:shd w:val="clear" w:color="auto" w:fill="FFFFFF"/>
        <w:spacing w:before="75" w:after="75"/>
        <w:jc w:val="both"/>
        <w:rPr>
          <w:rFonts w:ascii="Lato" w:eastAsia="Times New Roman" w:hAnsi="Lato" w:cs="Times New Roman"/>
          <w:color w:val="000000"/>
          <w:sz w:val="23"/>
          <w:szCs w:val="23"/>
          <w:lang w:eastAsia="fr-FR"/>
        </w:rPr>
      </w:pPr>
      <w:r w:rsidRPr="001D3A1E">
        <w:rPr>
          <w:rFonts w:ascii="Lato" w:eastAsia="Times New Roman" w:hAnsi="Lato" w:cs="Times New Roman"/>
          <w:color w:val="000000"/>
          <w:sz w:val="23"/>
          <w:szCs w:val="23"/>
          <w:lang w:eastAsia="fr-FR"/>
        </w:rPr>
        <w:t>« </w:t>
      </w:r>
      <w:r w:rsidRPr="001D3A1E">
        <w:rPr>
          <w:rFonts w:ascii="Lato" w:eastAsia="Times New Roman" w:hAnsi="Lato" w:cs="Times New Roman"/>
          <w:i/>
          <w:iCs/>
          <w:color w:val="000000"/>
          <w:sz w:val="23"/>
          <w:szCs w:val="23"/>
          <w:lang w:eastAsia="fr-FR"/>
        </w:rPr>
        <w:t>Le secteur de la mobilité reste robuste à l'échelle mondiale et continue de se redresser fortement en Chine, et le marché pétrolier se dirige vers un déficit de 1 million de barils par jour (bpj). Les primes américaines et européennes sur l'aluminium demeurent historiquement élevées, tandis que les carnets de commandes physiques pour les métaux restent solides</w:t>
      </w:r>
      <w:r w:rsidRPr="001D3A1E">
        <w:rPr>
          <w:rFonts w:ascii="Lato" w:eastAsia="Times New Roman" w:hAnsi="Lato" w:cs="Times New Roman"/>
          <w:color w:val="000000"/>
          <w:sz w:val="23"/>
          <w:szCs w:val="23"/>
          <w:lang w:eastAsia="fr-FR"/>
        </w:rPr>
        <w:t> », a déclaré la banque.</w:t>
      </w:r>
    </w:p>
    <w:p w14:paraId="5798B3A0" w14:textId="77777777" w:rsidR="001D3A1E" w:rsidRPr="001D3A1E" w:rsidRDefault="001D3A1E" w:rsidP="001D3A1E">
      <w:pPr>
        <w:shd w:val="clear" w:color="auto" w:fill="FFFFFF"/>
        <w:spacing w:before="75" w:after="75"/>
        <w:jc w:val="both"/>
        <w:rPr>
          <w:rFonts w:ascii="Lato" w:eastAsia="Times New Roman" w:hAnsi="Lato" w:cs="Times New Roman"/>
          <w:color w:val="000000"/>
          <w:sz w:val="23"/>
          <w:szCs w:val="23"/>
          <w:lang w:eastAsia="fr-FR"/>
        </w:rPr>
      </w:pPr>
      <w:r w:rsidRPr="001D3A1E">
        <w:rPr>
          <w:rFonts w:ascii="Lato" w:eastAsia="Times New Roman" w:hAnsi="Lato" w:cs="Times New Roman"/>
          <w:color w:val="000000"/>
          <w:sz w:val="23"/>
          <w:szCs w:val="23"/>
          <w:lang w:eastAsia="fr-FR"/>
        </w:rPr>
        <w:t>Les matières premières résisteront aux risques de récession aux États-Unis et en Europe au cours des 12 prochains mois, « </w:t>
      </w:r>
      <w:r w:rsidRPr="001D3A1E">
        <w:rPr>
          <w:rFonts w:ascii="Lato" w:eastAsia="Times New Roman" w:hAnsi="Lato" w:cs="Times New Roman"/>
          <w:i/>
          <w:iCs/>
          <w:color w:val="000000"/>
          <w:sz w:val="23"/>
          <w:szCs w:val="23"/>
          <w:lang w:eastAsia="fr-FR"/>
        </w:rPr>
        <w:t>grâce aux mesures de relance à grande échelle de la Chine</w:t>
      </w:r>
      <w:r w:rsidRPr="001D3A1E">
        <w:rPr>
          <w:rFonts w:ascii="Lato" w:eastAsia="Times New Roman" w:hAnsi="Lato" w:cs="Times New Roman"/>
          <w:color w:val="000000"/>
          <w:sz w:val="23"/>
          <w:szCs w:val="23"/>
          <w:lang w:eastAsia="fr-FR"/>
        </w:rPr>
        <w:t> », a déclaré la banque. « </w:t>
      </w:r>
      <w:r w:rsidRPr="001D3A1E">
        <w:rPr>
          <w:rFonts w:ascii="Lato" w:eastAsia="Times New Roman" w:hAnsi="Lato" w:cs="Times New Roman"/>
          <w:i/>
          <w:iCs/>
          <w:color w:val="000000"/>
          <w:sz w:val="23"/>
          <w:szCs w:val="23"/>
          <w:lang w:eastAsia="fr-FR"/>
        </w:rPr>
        <w:t>Un investissement dans un actif réel, comme les matières premières, reste une nécessité pour protéger un portefeuille multi-actifs. </w:t>
      </w:r>
      <w:r w:rsidRPr="001D3A1E">
        <w:rPr>
          <w:rFonts w:ascii="Lato" w:eastAsia="Times New Roman" w:hAnsi="Lato" w:cs="Times New Roman"/>
          <w:color w:val="000000"/>
          <w:sz w:val="23"/>
          <w:szCs w:val="23"/>
          <w:lang w:eastAsia="fr-FR"/>
        </w:rPr>
        <w:t>»</w:t>
      </w:r>
    </w:p>
    <w:p w14:paraId="182FDF16" w14:textId="77777777" w:rsidR="001D3A1E" w:rsidRPr="001D3A1E" w:rsidRDefault="001D3A1E" w:rsidP="001D3A1E">
      <w:pPr>
        <w:shd w:val="clear" w:color="auto" w:fill="FFFFFF"/>
        <w:spacing w:before="75" w:after="75"/>
        <w:jc w:val="both"/>
        <w:rPr>
          <w:rFonts w:ascii="Lato" w:eastAsia="Times New Roman" w:hAnsi="Lato" w:cs="Times New Roman"/>
          <w:color w:val="000000"/>
          <w:sz w:val="23"/>
          <w:szCs w:val="23"/>
          <w:lang w:eastAsia="fr-FR"/>
        </w:rPr>
      </w:pPr>
      <w:r w:rsidRPr="001D3A1E">
        <w:rPr>
          <w:rFonts w:ascii="Lato" w:eastAsia="Times New Roman" w:hAnsi="Lato" w:cs="Times New Roman"/>
          <w:color w:val="000000"/>
          <w:sz w:val="23"/>
          <w:szCs w:val="23"/>
          <w:lang w:eastAsia="fr-FR"/>
        </w:rPr>
        <w:t>Concernant le marché pétrolier, Goldman confirme ses précédentes déclarations, et affirme qu’il est en déficit structurel. « </w:t>
      </w:r>
      <w:r w:rsidRPr="001D3A1E">
        <w:rPr>
          <w:rFonts w:ascii="Lato" w:eastAsia="Times New Roman" w:hAnsi="Lato" w:cs="Times New Roman"/>
          <w:i/>
          <w:iCs/>
          <w:color w:val="000000"/>
          <w:sz w:val="23"/>
          <w:szCs w:val="23"/>
          <w:lang w:eastAsia="fr-FR"/>
        </w:rPr>
        <w:t>Ce déficit persistera probablement aux cours actuels du pétrole compte tenu de la reprise modérée attendue de la demande chinoise et de la baisse des exportations russes (dans le cadre des sanctions de l'UE) </w:t>
      </w:r>
      <w:r w:rsidRPr="001D3A1E">
        <w:rPr>
          <w:rFonts w:ascii="Lato" w:eastAsia="Times New Roman" w:hAnsi="Lato" w:cs="Times New Roman"/>
          <w:color w:val="000000"/>
          <w:sz w:val="23"/>
          <w:szCs w:val="23"/>
          <w:lang w:eastAsia="fr-FR"/>
        </w:rPr>
        <w:t>», a déclaré la banque, qui prévoit que la baisse des exportations russes s'accélérera pour passer de 0,3 million de bpj à 1,5 million de bpj d'ici le premier trimestre 2023.</w:t>
      </w:r>
    </w:p>
    <w:p w14:paraId="7F8E2049" w14:textId="77777777" w:rsidR="001D3A1E" w:rsidRPr="001D3A1E" w:rsidRDefault="001D3A1E" w:rsidP="001D3A1E">
      <w:pPr>
        <w:shd w:val="clear" w:color="auto" w:fill="FFFFFF"/>
        <w:spacing w:before="75" w:after="75"/>
        <w:jc w:val="both"/>
        <w:rPr>
          <w:rFonts w:ascii="Lato" w:eastAsia="Times New Roman" w:hAnsi="Lato" w:cs="Times New Roman"/>
          <w:color w:val="000000"/>
          <w:sz w:val="23"/>
          <w:szCs w:val="23"/>
          <w:lang w:eastAsia="fr-FR"/>
        </w:rPr>
      </w:pPr>
      <w:r w:rsidRPr="001D3A1E">
        <w:rPr>
          <w:rFonts w:ascii="Lato" w:eastAsia="Times New Roman" w:hAnsi="Lato" w:cs="Times New Roman"/>
          <w:color w:val="000000"/>
          <w:sz w:val="23"/>
          <w:szCs w:val="23"/>
          <w:lang w:eastAsia="fr-FR"/>
        </w:rPr>
        <w:t>Les craintes de ralentissement ont eu des répercussions sur la plupart des métaux de base. Le cuivre, notamment, a sombré à un creux plus vu depuis 20 mois la semaine dernière.</w:t>
      </w:r>
    </w:p>
    <w:p w14:paraId="61480B2D"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1E"/>
    <w:rsid w:val="000F156F"/>
    <w:rsid w:val="001D3A1E"/>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2AB0481"/>
  <w15:chartTrackingRefBased/>
  <w15:docId w15:val="{04AAB438-21EA-9A41-B28C-65877D7B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D3A1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D3A1E"/>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3A1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D3A1E"/>
    <w:rPr>
      <w:rFonts w:ascii="Times New Roman" w:eastAsia="Times New Roman" w:hAnsi="Times New Roman" w:cs="Times New Roman"/>
      <w:b/>
      <w:bCs/>
      <w:sz w:val="36"/>
      <w:szCs w:val="36"/>
      <w:lang w:eastAsia="fr-FR"/>
    </w:rPr>
  </w:style>
  <w:style w:type="paragraph" w:customStyle="1" w:styleId="infoarticle">
    <w:name w:val="info_article"/>
    <w:basedOn w:val="Normal"/>
    <w:rsid w:val="001D3A1E"/>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1D3A1E"/>
    <w:rPr>
      <w:color w:val="0000FF"/>
      <w:u w:val="single"/>
    </w:rPr>
  </w:style>
  <w:style w:type="paragraph" w:styleId="NormalWeb">
    <w:name w:val="Normal (Web)"/>
    <w:basedOn w:val="Normal"/>
    <w:uiPriority w:val="99"/>
    <w:semiHidden/>
    <w:unhideWhenUsed/>
    <w:rsid w:val="001D3A1E"/>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1D3A1E"/>
    <w:rPr>
      <w:b/>
      <w:bCs/>
    </w:rPr>
  </w:style>
  <w:style w:type="character" w:styleId="Accentuation">
    <w:name w:val="Emphasis"/>
    <w:basedOn w:val="Policepardfaut"/>
    <w:uiPriority w:val="20"/>
    <w:qFormat/>
    <w:rsid w:val="001D3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1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1659</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2022-07-18T11:23:00Z</dcterms:created>
  <dcterms:modified xsi:type="dcterms:W3CDTF">2022-07-18T11:24:00Z</dcterms:modified>
</cp:coreProperties>
</file>